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ns0:document xmlns:ns0="http://schemas.openxmlformats.org/wordprocessingml/2006/main" xmlns:ns1="http://schemas.openxmlformats.org/markup-compatibility/2006" ns1:Ignorable="w14 wp14 w15">
  <ns0:body>
    <ns0:p>
      <ns0:pPr>
        <ns0:pStyle ns0:val="TextBodyeyebrow"/>
        <ns0:bidi ns0:val="0"/>
        <ns0:jc ns0:val="start"/>
        <ns0:rPr/>
      </ns0:pPr>
      <ns0:r>
        <ns0:rPr/>
        <ns0:t>Chemical research report</ns0:t>
      </ns0:r>
    </ns0:p>
    <ns0:p>
      <ns0:pPr>
        <ns0:pStyle ns0:val="TextBodybrand"/>
        <ns0:bidi ns0:val="0"/>
        <ns0:jc ns0:val="start"/>
        <ns0:rPr/>
      </ns0:pPr>
      <ns0:r>
        <ns0:rPr/>
        <ns0:t>PestController.org</ns0:t>
      </ns0:r>
    </ns0:p>
    <ns0:p>
      <ns0:pPr>
        <ns0:pStyle ns0:val="TextBody"/>
        <ns0:bidi ns0:val="0"/>
        <ns0:jc ns0:val="start"/>
        <ns0:rPr/>
      </ns0:pPr>
      <ns0:r>
        <ns0:rPr>
          <ns0:rStyle ns0:val="StrongEmphasis"/>
        </ns0:rPr>
        <ns0:t>Source file:</ns0:t>
      </ns0:r>
      <ns0:r>
        <ns0:rPr/>
        <ns0:t xml:space="preserve"> REPORT.md</ns0:t>
        <ns0:br/>
      </ns0:r>
      <ns0:r>
        <ns0:rPr>
          <ns0:rStyle ns0:val="StrongEmphasis"/>
        </ns0:rPr>
        <ns0:t>Source SHA-256:</ns0:t>
      </ns0:r>
      <ns0:r>
        <ns0:rPr/>
        <ns0:t xml:space="preserve"> </ns0:t>
      </ns0:r>
      <ns0:r>
        <ns0:rPr>
          <ns0:rStyle ns0:val="SourceText"/>
        </ns0:rPr>
        <ns0:t>29a0841ea9f90a7edf074304562057af1450705cb8401bab505002332518a785</ns0:t>
      </ns0:r>
      <ns0:r>
        <ns0:rPr/>
        <ns0:br/>
      </ns0:r>
      <ns0:r>
        <ns0:rPr>
          <ns0:rStyle ns0:val="StrongEmphasis"/>
        </ns0:rPr>
        <ns0:t>Publication note:</ns0:t>
      </ns0:r>
      <ns0:r>
        <ns0:rPr/>
        <ns0:t xml:space="preserve"> Verify the current product label and local requirements before use.</ns0:t>
      </ns0:r>
    </ns0:p>
    <ns0:p>
      <ns0:pPr>
        <ns0:pStyle ns0:val="Heading1"/>
        <ns0:bidi ns0:val="0"/>
        <ns0:spacing ns0:lineRule="auto" ns0:line="283"/>
        <ns0:jc ns0:val="start"/>
        <ns0:rPr/>
      </ns0:pPr>
      <ns0:bookmarkStart ns0:id="0" ns0:name="report-title"/>
      <ns0:bookmarkEnd ns0:id="0"/>
      <ns0:r>
        <ns0:rPr/>
        <ns0:t>PestController.org Chemical Knowledge Accuracy Audit</ns0:t>
      </ns0:r>
    </ns0:p>
    <ns0:p>
      <ns0:pPr>
        <ns0:pStyle ns0:val="TextBody"/>
        <ns0:bidi ns0:val="0"/>
        <ns0:spacing ns0:before="0" ns0:after="283"/>
        <ns0:jc ns0:val="start"/>
        <ns0:rPr/>
      </ns0:pPr>
      <ns0:r>
        <ns0:rPr>
          <ns0:rStyle ns0:val="StrongEmphasis"/>
        </ns0:rPr>
        <ns0:t>Evidence cutoff:</ns0:t>
      </ns0:r>
      <ns0:r>
        <ns0:rPr/>
        <ns0:t xml:space="preserve"> 2026-08-08, America/Chicago.</ns0:t>
      </ns0:r>
    </ns0:p>
    <ns0:p>
      <ns0:pPr>
        <ns0:pStyle ns0:val="TextBody"/>
        <ns0:bidi ns0:val="0"/>
        <ns0:spacing ns0:before="0" ns0:after="283"/>
        <ns0:jc ns0:val="start"/>
        <ns0:rPr/>
      </ns0:pPr>
      <ns0:r>
        <ns0:rPr>
          <ns0:rStyle ns0:val="StrongEmphasis"/>
        </ns0:rPr>
        <ns0:t>Status:</ns0:t>
      </ns0:r>
      <ns0:r>
        <ns0:rPr/>
        <ns0:t xml:space="preserve"> chemical-knowledge v1.2.1 was built at </ns0:t>
      </ns0:r>
      <ns0:r>
        <ns0:rPr>
          <ns0:rStyle ns0:val="SourceText"/>
        </ns0:rPr>
        <ns0:t>2026-08-08T00:00:00Z</ns0:t>
      </ns0:r>
      <ns0:r>
        <ns0:rPr/>
        <ns0:t>. It is an auditable, fail-closed evidence release: regulated facts remain blocked unless their exact identity, current reviewed Label path, accepted anchor, and publication gate are satisfied. [S01][S02]</ns0:t>
      </ns0:r>
    </ns0:p>
    <ns0:p>
      <ns0:pPr>
        <ns0:pStyle ns0:val="TextBody"/>
        <ns0:bidi ns0:val="0"/>
        <ns0:spacing ns0:before="0" ns0:after="283"/>
        <ns0:jc ns0:val="start"/>
        <ns0:rPr/>
      </ns0:pPr>
      <ns0:r>
        <ns0:rPr>
          <ns0:rStyle ns0:val="StrongEmphasis"/>
        </ns0:rPr>
        <ns0:t>Safety notice:</ns0:t>
      </ns0:r>
      <ns0:r>
        <ns0:rPr/>
        <ns0:t xml:space="preserve"> this report describes evidence and publication controls. It is not pesticide-use direction. The current product-in-hand label and applicable law control use; an SDS supplies hazard and handling context but does not authorize a pesticide use. [S08]</ns0:t>
      </ns0:r>
    </ns0:p>
    <ns0:p>
      <ns0:pPr>
        <ns0:pStyle ns0:val="Heading2"/>
        <ns0:bidi ns0:val="0"/>
        <ns0:jc ns0:val="start"/>
        <ns0:rPr/>
      </ns0:pPr>
      <ns0:r>
        <ns0:rPr/>
        <ns0:t>Executive summary</ns0:t>
      </ns0:r>
    </ns0:p>
    <ns0:p>
      <ns0:pPr>
        <ns0:pStyle ns0:val="TextBody"/>
        <ns0:bidi ns0:val="0"/>
        <ns0:spacing ns0:before="0" ns0:after="283"/>
        <ns0:jc ns0:val="start"/>
        <ns0:rPr/>
      </ns0:pPr>
      <ns0:r>
        <ns0:rPr/>
        <ns0:t>The v1.2.1 package contains 148 page-linked candidate regulated facts, all blocked, and 44 retained disagreements, none published. Its article universe contains 467 immutable-origin candidates in four separate lanes: 136 professional-product candidates, 114 scope exclusions, 100 expansion-research candidates, and 117 professional-topic candidates. [S01][S02][S04]</ns0:t>
      </ns0:r>
    </ns0:p>
    <ns0:p>
      <ns0:pPr>
        <ns0:pStyle ns0:val="TextBody"/>
        <ns0:bidi ns0:val="0"/>
        <ns0:spacing ns0:before="0" ns0:after="283"/>
        <ns0:jc ns0:val="start"/>
        <ns0:rPr/>
      </ns0:pPr>
      <ns0:r>
        <ns0:rPr/>
        <ns0:t>The current editorial states are 253 blocked, 114 excluded, 100 research-only, and zero ready for draft. Readiness is 0 for 451 rows and 40 for 16 rows; no row is ready. [S03]</ns0:t>
      </ns0:r>
    </ns0:p>
    <ns0:p>
      <ns0:pPr>
        <ns0:pStyle ns0:val="TextBody"/>
        <ns0:bidi ns0:val="0"/>
        <ns0:spacing ns0:before="0" ns0:after="283"/>
        <ns0:jc ns0:val="start"/>
        <ns0:rPr/>
      </ns0:pPr>
      <ns0:r>
        <ns0:rPr/>
        <ns0:t>The normalized research layer has 23 techniques, 18 IPM methods, 16 nonchemical-IPM actions, 22 equipment records, 227 source-detail records, and 449 typed claims. Those claims remain research-only and non-authorizing. [S02]</ns0:t>
      </ns0:r>
    </ns0:p>
    <ns0:p>
      <ns0:pPr>
        <ns0:pStyle ns0:val="TextBody"/>
        <ns0:bidi ns0:val="0"/>
        <ns0:spacing ns0:before="0" ns0:after="283"/>
        <ns0:jc ns0:val="start"/>
        <ns0:rPr/>
      </ns0:pPr>
      <ns0:r>
        <ns0:rPr/>
        <ns0:t>The package binds the following release identities:</ns0:t>
      </ns0:r>
    </ns0:p>
    <ns0:tbl>
      <ns0:tblPr>
        <ns0:tblW ns0:w="10539" ns0:type="dxa"/>
        <ns0:jc ns0:val="start"/>
        <ns0:tblInd ns0:w="0" ns0:type="dxa"/>
        <ns0:tblLayout ns0:type="fixed"/>
        <ns0:tblCellMar>
          <ns0:top ns0:w="28" ns0:type="dxa"/>
          <ns0:start ns0:w="28" ns0:type="dxa"/>
          <ns0:bottom ns0:w="28" ns0:type="dxa"/>
          <ns0:end ns0:w="28" ns0:type="dxa"/>
        </ns0:tblCellMar>
      </ns0:tblPr>
      <ns0:tblGrid>
        <ns0:gridCol ns0:w="3688"/>
        <ns0:gridCol ns0:w="6851"/>
      </ns0:tblGrid>
      <ns0:tr>
        <ns0:trPr>
          <ns0:tblHeader ns0:val="true"/>
        </ns0:trPr>
        <ns0:tc>
          <ns0:tcPr>
            <ns0:tcW ns0:w="3688"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Artifact</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SHA-256</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v1.2.1 SQLite</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91cb8b86231cec6f738d7f33dce4c1015fb7e9d344e039c3e16b0d2ee7e6da7d</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v1.2.1 editorial backlog CSV</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72031b49802e7b7e4ae2afda451490e4d58619842960d8a7f6ec20d8e1d9d84c</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v1.2.1 article universe CSV</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bc4e533d10492efd6e6de558c636d9f0ffccb2b0742362fb295636e5dca0cc09</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v1.2.1 package manifest</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61ba3d0857229cb117d0393937ae97b4fdf1ede1ade0eec100d817bddcd3823c</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v1.2.1 QA record</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90a7bd68020ca1f30304e8b3d36c34b09571300c7bcdb9b017098900ae7ed0c0</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v1.2.1 unresolved annex</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2ba60336a004ae122429d2db0ed2c8a3f8d4a0be50cb9e1db80b2a3d3e9792d2</ns0:t>
            </ns0:r>
          </ns0:p>
        </ns0:tc>
      </ns0:tr>
      <ns0:tr>
        <ns0:trPr>
          <ns0:cantSplit/>
        </ns0:trPr>
        <ns0:tc>
          <ns0:tcPr>
            <ns0:tcW ns0:w="3688"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G020 red-team findings</ns0:t>
            </ns0:r>
          </ns0:p>
        </ns0:tc>
        <ns0:tc>
          <ns0:tcPr>
            <ns0:tcW ns0:w="6851"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50aeb84e34dfca7bce538885209d7991cf197a0e4e73e00f5cea62e432f2d278</ns0:t>
            </ns0:r>
          </ns0:p>
        </ns0:tc>
      </ns0:tr>
    </ns0:tbl>
    <ns0:p>
      <ns0:pPr>
        <ns0:pStyle ns0:val="TextBody"/>
        <ns0:bidi ns0:val="0"/>
        <ns0:spacing ns0:before="0" ns0:after="283"/>
        <ns0:jc ns0:val="start"/>
        <ns0:rPr/>
      </ns0:pPr>
      <ns0:r>
        <ns0:rPr/>
        <ns0:t xml:space="preserve">The companion </ns0:t>
      </ns0:r>
      <ns0:r>
        <ns0:rPr>
          <ns0:rStyle ns0:val="SourceText"/>
        </ns0:rPr>
        <ns0:t>REPORT.manifest.json</ns0:t>
      </ns0:r>
      <ns0:r>
        <ns0:rPr/>
        <ns0:t xml:space="preserve"> binds this Markdown source to the delivered HTML, tagged/searchable Letter PDF, and structurally real DOCX after rendering. [S09]</ns0:t>
      </ns0:r>
    </ns0:p>
    <ns0:p>
      <ns0:pPr>
        <ns0:pStyle ns0:val="Heading2"/>
        <ns0:bidi ns0:val="0"/>
        <ns0:jc ns0:val="start"/>
        <ns0:rPr/>
      </ns0:pPr>
      <ns0:r>
        <ns0:rPr/>
        <ns0:t>Scope/corpus/ranking caveats</ns0:t>
      </ns0:r>
    </ns0:p>
    <ns0:p>
      <ns0:pPr>
        <ns0:pStyle ns0:val="TextBody"/>
        <ns0:bidi ns0:val="0"/>
        <ns0:spacing ns0:before="0" ns0:after="283"/>
        <ns0:jc ns0:val="start"/>
        <ns0:rPr/>
      </ns0:pPr>
      <ns0:r>
        <ns0:rPr/>
        <ns0:t>The binding scope is United States professional structural pest control, with adjacent technique, nonchemical IPM, and professional-equipment research. Consumer discussion can suggest questions and recurring experiences, but consumer-only products do not enter the professional publication set. [S08]</ns0:t>
      </ns0:r>
    </ns0:p>
    <ns0:p>
      <ns0:pPr>
        <ns0:pStyle ns0:val="TextBody"/>
        <ns0:bidi ns0:val="0"/>
        <ns0:spacing ns0:before="0" ns0:after="283"/>
        <ns0:jc ns0:val="start"/>
        <ns0:rPr/>
      </ns0:pPr>
      <ns0:r>
        <ns0:rPr/>
        <ns0:t>The top-250 input is a research lead set, not a validated professional catalog. Its scope decomposition is 136 professional PCO candidates, 71 consumer-only rows, 35 non-structural rows, and 8 municipal/vector rows. Scope eligibility is not accepted identity, current-document coverage, or human review. [S03][S04]</ns0:t>
      </ns0:r>
    </ns0:p>
    <ns0:p>
      <ns0:pPr>
        <ns0:pStyle ns0:val="TextBody"/>
        <ns0:bidi ns0:val="0"/>
        <ns0:spacing ns0:before="0" ns0:after="283"/>
        <ns0:jc ns0:val="start"/>
        <ns0:rPr/>
      </ns0:pPr>
      <ns0:r>
        <ns0:rPr/>
        <ns0:t xml:space="preserve">Ranks 1 through 250 use a </ns0:t>
      </ns0:r>
      <ns0:r>
        <ns0:rPr>
          <ns0:rStyle ns0:val="SourceText"/>
        </ns0:rPr>
        <ns0:t>/14</ns0:t>
      </ns0:r>
      <ns0:r>
        <ns0:rPr/>
        <ns0:t xml:space="preserve"> proxy, while ranks 251 through 350 use a </ns0:t>
      </ns0:r>
      <ns0:r>
        <ns0:rPr>
          <ns0:rStyle ns0:val="SourceText"/>
        </ns0:rPr>
        <ns0:t>/100</ns0:t>
      </ns0:r>
      <ns0:r>
        <ns0:rPr/>
        <ns0:t xml:space="preserve"> research score. Their populations and score methods remain separate; raw scores are not merged across lanes. [S02][S03]</ns0:t>
      </ns0:r>
    </ns0:p>
    <ns0:p>
      <ns0:pPr>
        <ns0:pStyle ns0:val="TextBody"/>
        <ns0:bidi ns0:val="0"/>
        <ns0:spacing ns0:before="0" ns0:after="283"/>
        <ns0:jc ns0:val="start"/>
        <ns0:rPr/>
      </ns0:pPr>
      <ns0:r>
        <ns0:rPr/>
        <ns0:t>The v1.2.1 catalog snapshot contains 2,149 products, while the evidence package models 349 distinct ranked subjects. A snapshot-local product integer is provenance, not stable identity. [S01][S02]</ns0:t>
      </ns0:r>
    </ns0:p>
    <ns0:p>
      <ns0:pPr>
        <ns0:pStyle ns0:val="Heading2"/>
        <ns0:bidi ns0:val="0"/>
        <ns0:jc ns0:val="start"/>
        <ns0:rPr/>
      </ns0:pPr>
      <ns0:r>
        <ns0:rPr/>
        <ns0:t>Product identity/document coverage</ns0:t>
      </ns0:r>
    </ns0:p>
    <ns0:p>
      <ns0:pPr>
        <ns0:pStyle ns0:val="TextBody"/>
        <ns0:bidi ns0:val="0"/>
        <ns0:spacing ns0:before="0" ns0:after="283"/>
        <ns0:jc ns0:val="start"/>
        <ns0:rPr/>
      </ns0:pPr>
      <ns0:r>
        <ns0:rPr/>
        <ns0:t>Names, manufacturers, active ingredients, registration bases, filenames, and folder proximity are candidate signals. None alone establishes an exact current marketed identity. [S08]</ns0:t>
      </ns0:r>
    </ns0:p>
    <ns0:p>
      <ns0:pPr>
        <ns0:pStyle ns0:val="TextBody"/>
        <ns0:bidi ns0:val="0"/>
        <ns0:spacing ns0:before="0" ns0:after="283"/>
        <ns0:jc ns0:val="start"/>
        <ns0:rPr/>
      </ns0:pPr>
      <ns0:r>
        <ns0:rPr/>
        <ns0:t>The package contains 3,354 physical SHA-256 documents, 3,414 document paths, 3,493 product-document bindings, and 34,770 stored pages. It has four accepted document-review records. Classification, exact-product binding, currentness, and human review remain separate checks. [S01][S02]</ns0:t>
      </ns0:r>
    </ns0:p>
    <ns0:p>
      <ns0:pPr>
        <ns0:pStyle ns0:val="TextBody"/>
        <ns0:bidi ns0:val="0"/>
        <ns0:spacing ns0:before="0" ns0:after="283"/>
        <ns0:jc ns0:val="start"/>
        <ns0:rPr/>
      </ns0:pPr>
      <ns0:r>
        <ns0:rPr/>
        <ns0:t>Every regulated fact retains document identity, source SHA-256, page, short anchor, identity state, role state, currentness state, disagreement state, scope state, and publication state. A fact cannot be public merely because an associated document exists. [S01][S02]</ns0:t>
      </ns0:r>
    </ns0:p>
    <ns0:p>
      <ns0:pPr>
        <ns0:pStyle ns0:val="TextBody"/>
        <ns0:bidi ns0:val="0"/>
        <ns0:spacing ns0:before="0" ns0:after="283"/>
        <ns0:jc ns0:val="start"/>
        <ns0:rPr/>
      </ns0:pPr>
      <ns0:r>
        <ns0:rPr/>
        <ns0:t>The package publishes no regulated fact. Missing, stale, unreviewed, conflicting, or out-of-scope evidence remains blocked rather than inferred. [S02]</ns0:t>
      </ns0:r>
    </ns0:p>
    <ns0:p>
      <ns0:pPr>
        <ns0:pStyle ns0:val="Heading2"/>
        <ns0:bidi ns0:val="0"/>
        <ns0:jc ns0:val="start"/>
        <ns0:rPr/>
      </ns0:pPr>
      <ns0:r>
        <ns0:rPr/>
        <ns0:t>Citation/evidence-quality coverage</ns0:t>
      </ns0:r>
    </ns0:p>
    <ns0:p>
      <ns0:pPr>
        <ns0:pStyle ns0:val="TextBody"/>
        <ns0:bidi ns0:val="0"/>
        <ns0:spacing ns0:before="0" ns0:after="283"/>
        <ns0:jc ns0:val="start"/>
        <ns0:rPr/>
      </ns0:pPr>
      <ns0:r>
        <ns0:rPr/>
        <ns0:t>Public evidence is deliberately narrow: it uses exact source identity, page locators, short attributed anchors, and publication gates rather than full third-party document text. [S08]</ns0:t>
      </ns0:r>
    </ns0:p>
    <ns0:p>
      <ns0:pPr>
        <ns0:pStyle ns0:val="TextBody"/>
        <ns0:bidi ns0:val="0"/>
        <ns0:spacing ns0:before="0" ns0:after="283"/>
        <ns0:jc ns0:val="start"/>
        <ns0:rPr/>
      </ns0:pPr>
      <ns0:r>
        <ns0:rPr/>
        <ns0:t>A Label can support use information only for its exact reviewed identity and version. An SDS cannot expand that authorization. A manual can establish equipment capability, but capability does not create pesticide permission. Study and field observations remain bounded by their recorded population, protocol, context, and claim ceiling. [S08]</ns0:t>
      </ns0:r>
    </ns0:p>
    <ns0:p>
      <ns0:pPr>
        <ns0:pStyle ns0:val="TextBody"/>
        <ns0:bidi ns0:val="0"/>
        <ns0:spacing ns0:before="0" ns0:after="283"/>
        <ns0:jc ns0:val="start"/>
        <ns0:rPr/>
      </ns0:pPr>
      <ns0:r>
        <ns0:rPr/>
        <ns0:t>Commercial and manufacturer sources support only their narrow claim ceilings. They remain non-authorizing research material and cannot independently authorize publication or pesticide direction. [S06]</ns0:t>
      </ns0:r>
    </ns0:p>
    <ns0:p>
      <ns0:pPr>
        <ns0:pStyle ns0:val="Heading2"/>
        <ns0:bidi ns0:val="0"/>
        <ns0:jc ns0:val="start"/>
        <ns0:rPr/>
      </ns0:pPr>
      <ns0:r>
        <ns0:rPr/>
        <ns0:t>Field/regulatory/resistance/controversy findings</ns0:t>
      </ns0:r>
    </ns0:p>
    <ns0:p>
      <ns0:pPr>
        <ns0:pStyle ns0:val="TextBody"/>
        <ns0:bidi ns0:val="0"/>
        <ns0:spacing ns0:before="0" ns0:after="283"/>
        <ns0:jc ns0:val="start"/>
        <ns0:rPr/>
      </ns0:pPr>
      <ns0:r>
        <ns0:rPr/>
        <ns0:t>Regulatory and field records are research evidence with retrieval context and claim ceilings, not evergreen legal advice. Before publication or product advice, the exact current label, registration, jurisdiction, and applicable restrictions must be checked again. [S08]</ns0:t>
      </ns0:r>
    </ns0:p>
    <ns0:p>
      <ns0:pPr>
        <ns0:pStyle ns0:val="TextBody"/>
        <ns0:bidi ns0:val="0"/>
        <ns0:spacing ns0:before="0" ns0:after="283"/>
        <ns0:jc ns0:val="start"/>
        <ns0:rPr/>
      </ns0:pPr>
      <ns0:r>
        <ns0:rPr/>
        <ns0:t>Field observations, consumer observations, and study endpoints can identify questions or bounded results; they do not establish a universal efficacy, safety, adoption, or legal-use conclusion. [S02][S08]</ns0:t>
      </ns0:r>
    </ns0:p>
    <ns0:p>
      <ns0:pPr>
        <ns0:pStyle ns0:val="Heading2"/>
        <ns0:bidi ns0:val="0"/>
        <ns0:jc ns0:val="start"/>
        <ns0:rPr/>
      </ns0:pPr>
      <ns0:r>
        <ns0:rPr/>
        <ns0:t>Technique/IPM/equipment taxonomies</ns0:t>
      </ns0:r>
    </ns0:p>
    <ns0:p>
      <ns0:pPr>
        <ns0:pStyle ns0:val="TextBody"/>
        <ns0:bidi ns0:val="0"/>
        <ns0:spacing ns0:before="0" ns0:after="283"/>
        <ns0:jc ns0:val="start"/>
        <ns0:rPr/>
      </ns0:pPr>
      <ns0:r>
        <ns0:rPr/>
        <ns0:t>Technique, IPM, nonchemical-action, and equipment records remain distinct from pesticide authorization. A location or delivery concept is not permission, equipment capability is not label permission, and a manual rating is not a measured field calibration. [S02][S08]</ns0:t>
      </ns0:r>
    </ns0:p>
    <ns0:p>
      <ns0:pPr>
        <ns0:pStyle ns0:val="TextBody"/>
        <ns0:bidi ns0:val="0"/>
        <ns0:spacing ns0:before="0" ns0:after="283"/>
        <ns0:jc ns0:val="start"/>
        <ns0:rPr/>
      </ns0:pPr>
      <ns0:r>
        <ns0:rPr/>
        <ns0:t xml:space="preserve">The package has no equipment-calibration measurements and no measured-calibration claims. Its 449 research claims retain </ns0:t>
      </ns0:r>
      <ns0:r>
        <ns0:rPr>
          <ns0:rStyle ns0:val="SourceText"/>
        </ns0:rPr>
        <ns0:t>authorization_effect</ns0:t>
      </ns0:r>
      <ns0:r>
        <ns0:rPr/>
        <ns0:t xml:space="preserve"> of </ns0:t>
      </ns0:r>
      <ns0:r>
        <ns0:rPr>
          <ns0:rStyle ns0:val="SourceText"/>
        </ns0:rPr>
        <ns0:t>none</ns0:t>
      </ns0:r>
      <ns0:r>
        <ns0:rPr/>
        <ns0:t>. [S02]</ns0:t>
      </ns0:r>
    </ns0:p>
    <ns0:p>
      <ns0:pPr>
        <ns0:pStyle ns0:val="Heading2"/>
        <ns0:bidi ns0:val="0"/>
        <ns0:jc ns0:val="start"/>
        <ns0:rPr/>
      </ns0:pPr>
      <ns0:r>
        <ns0:rPr/>
        <ns0:t>Site/import architecture and rollback</ns0:t>
      </ns0:r>
    </ns0:p>
    <ns0:p>
      <ns0:pPr>
        <ns0:pStyle ns0:val="TextBody"/>
        <ns0:bidi ns0:val="0"/>
        <ns0:spacing ns0:before="0" ns0:after="283"/>
        <ns0:jc ns0:val="start"/>
        <ns0:rPr/>
      </ns0:pPr>
      <ns0:r>
        <ns0:rPr/>
        <ns0:t xml:space="preserve">The current G019 production deployment is application SHA </ns0:t>
      </ns0:r>
      <ns0:r>
        <ns0:rPr>
          <ns0:rStyle ns0:val="SourceText"/>
        </ns0:rPr>
        <ns0:t>1e1adc9cfce0983b29699af5f52ca67dfe1beee8</ns0:t>
      </ns0:r>
      <ns0:r>
        <ns0:rPr/>
        <ns0:t>. Its receipt records a verified Advion Ant Bait Arena Label/SDS review and live hash verification; it does not convert unreviewed release evidence into public direction. [S07]</ns0:t>
      </ns0:r>
    </ns0:p>
    <ns0:p>
      <ns0:pPr>
        <ns0:pStyle ns0:val="TextBody"/>
        <ns0:bidi ns0:val="0"/>
        <ns0:spacing ns0:before="0" ns0:after="283"/>
        <ns0:jc ns0:val="start"/>
        <ns0:rPr/>
      </ns0:pPr>
      <ns0:r>
        <ns0:rPr/>
        <ns0:t>Historical G004 record: its tracked production-source code was verified locally but was not deployed at that time. Historical G005 record: its local backlog work was not pushed, deployed, or written to the production chemicals database at that time. Those historical nondeployment statements do not describe the current G019 deployment. [S07]</ns0:t>
      </ns0:r>
    </ns0:p>
    <ns0:p>
      <ns0:pPr>
        <ns0:pStyle ns0:val="TextBody"/>
        <ns0:bidi ns0:val="0"/>
        <ns0:spacing ns0:before="0" ns0:after="283"/>
        <ns0:jc ns0:val="start"/>
        <ns0:rPr/>
      </ns0:pPr>
      <ns0:r>
        <ns0:rPr/>
        <ns0:t>The import boundary is metadata-only and fail-closed: unverified documents, raw local paths, page text, rates, mixing instructions, PPE directions, and other evergreen application guidance are not imported as publishable facts. [S07][S08]</ns0:t>
      </ns0:r>
    </ns0:p>
    <ns0:p>
      <ns0:pPr>
        <ns0:pStyle ns0:val="Heading2"/>
        <ns0:bidi ns0:val="0"/>
        <ns0:jc ns0:val="start"/>
        <ns0:rPr/>
      </ns0:pPr>
      <ns0:r>
        <ns0:rPr/>
        <ns0:t>Prioritized article backlog</ns0:t>
      </ns0:r>
    </ns0:p>
    <ns0:p>
      <ns0:pPr>
        <ns0:pStyle ns0:val="TextBody"/>
        <ns0:bidi ns0:val="0"/>
        <ns0:spacing ns0:before="0" ns0:after="283"/>
        <ns0:jc ns0:val="start"/>
        <ns0:rPr/>
      </ns0:pPr>
      <ns0:r>
        <ns0:rPr/>
        <ns0:t xml:space="preserve">The editorial projection preserves all 467 candidates exactly once. It is a work queue, not a set of article approvals. The first expansion-research row is </ns0:t>
      </ns0:r>
      <ns0:r>
        <ns0:rPr>
          <ns0:rStyle ns0:val="StrongEmphasis"/>
        </ns0:rPr>
        <ns0:t>Research article for Advion Ant Bait Arena</ns0:t>
      </ns0:r>
      <ns0:r>
        <ns0:rPr/>
        <ns0:t xml:space="preserve">, with final priority </ns0:t>
      </ns0:r>
      <ns0:r>
        <ns0:rPr>
          <ns0:rStyle ns0:val="StrongEmphasis"/>
        </ns0:rPr>
        <ns0:t>45.04</ns0:t>
      </ns0:r>
      <ns0:r>
        <ns0:rPr/>
        <ns0:t>. [S03][S04]</ns0:t>
      </ns0:r>
    </ns0:p>
    <ns0:p>
      <ns0:pPr>
        <ns0:pStyle ns0:val="TextBody"/>
        <ns0:bidi ns0:val="0"/>
        <ns0:spacing ns0:before="0" ns0:after="283"/>
        <ns0:jc ns0:val="start"/>
        <ns0:rPr/>
      </ns0:pPr>
      <ns0:r>
        <ns0:rPr/>
        <ns0:t xml:space="preserve">Readiness is the minimum of applicable identity, document, citation, and independence dimensions. A row cannot become </ns0:t>
      </ns0:r>
      <ns0:r>
        <ns0:rPr>
          <ns0:rStyle ns0:val="SourceText"/>
        </ns0:rPr>
        <ns0:t>ready_for_draft</ns0:t>
      </ns0:r>
      <ns0:r>
        <ns0:rPr/>
        <ns0:t xml:space="preserve"> unless it meets the threshold, has eligible professional scope and evidence, has no blocker, and has passed attribution and originality gates. [S03][S06]</ns0:t>
      </ns0:r>
    </ns0:p>
    <ns0:p>
      <ns0:pPr>
        <ns0:pStyle ns0:val="TextBody"/>
        <ns0:bidi ns0:val="0"/>
        <ns0:spacing ns0:before="0" ns0:after="283"/>
        <ns0:jc ns0:val="start"/>
        <ns0:rPr/>
      </ns0:pPr>
      <ns0:r>
        <ns0:rPr/>
        <ns0:t>All 250 packets and all 467 article theses remain nonpublic. Attribution and originality are required but not sufficient: identity, document, scope, claim, and source gates still apply. The 449 research claims remain research-only and non-authorizing. [S03][S06]</ns0:t>
      </ns0:r>
    </ns0:p>
    <ns0:tbl>
      <ns0:tblPr>
        <ns0:tblW ns0:w="10539" ns0:type="dxa"/>
        <ns0:jc ns0:val="start"/>
        <ns0:tblInd ns0:w="0" ns0:type="dxa"/>
        <ns0:tblLayout ns0:type="fixed"/>
        <ns0:tblCellMar>
          <ns0:top ns0:w="28" ns0:type="dxa"/>
          <ns0:start ns0:w="28" ns0:type="dxa"/>
          <ns0:bottom ns0:w="28" ns0:type="dxa"/>
          <ns0:end ns0:w="28" ns0:type="dxa"/>
        </ns0:tblCellMar>
      </ns0:tblPr>
      <ns0:tblGrid>
        <ns0:gridCol ns0:w="7526"/>
        <ns0:gridCol ns0:w="3013"/>
      </ns0:tblGrid>
      <ns0:tr>
        <ns0:trPr>
          <ns0:tblHeader ns0:val="true"/>
        </ns0:trPr>
        <ns0:tc>
          <ns0:tcPr>
            <ns0:tcW ns0:w="7526"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Publication state</ns0:t>
            </ns0:r>
          </ns0:p>
        </ns0:tc>
        <ns0:tc>
          <ns0:tcPr>
            <ns0:tcW ns0:w="3013"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bidi ns0:val="0"/>
              <ns0:spacing ns0:before="0" ns0:after="283"/>
              <ns0:jc ns0:val="end"/>
              <ns0:rPr>
                <ns0:color ns0:val="FFFFFF"/>
              </ns0:rPr>
            </ns0:pPr>
            <ns0:r>
              <ns0:rPr>
                <ns0:color ns0:val="FFFFFF"/>
              </ns0:rPr>
              <ns0:t>Rows</ns0:t>
            </ns0:r>
          </ns0:p>
        </ns0:tc>
      </ns0:tr>
      <ns0:tr>
        <ns0:trPr>
          <ns0:cantSplit/>
        </ns0:trPr>
        <ns0:tc>
          <ns0:tcPr>
            <ns0:tcW ns0:w="752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Blocked</ns0:t>
            </ns0:r>
          </ns0:p>
        </ns0:tc>
        <ns0:tc>
          <ns0:tcPr>
            <ns0:tcW ns0:w="301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253</ns0:t>
            </ns0:r>
          </ns0:p>
        </ns0:tc>
      </ns0:tr>
      <ns0:tr>
        <ns0:trPr>
          <ns0:cantSplit/>
        </ns0:trPr>
        <ns0:tc>
          <ns0:tcPr>
            <ns0:tcW ns0:w="752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Excluded</ns0:t>
            </ns0:r>
          </ns0:p>
        </ns0:tc>
        <ns0:tc>
          <ns0:tcPr>
            <ns0:tcW ns0:w="301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114</ns0:t>
            </ns0:r>
          </ns0:p>
        </ns0:tc>
      </ns0:tr>
      <ns0:tr>
        <ns0:trPr>
          <ns0:cantSplit/>
        </ns0:trPr>
        <ns0:tc>
          <ns0:tcPr>
            <ns0:tcW ns0:w="752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Research-only</ns0:t>
            </ns0:r>
          </ns0:p>
        </ns0:tc>
        <ns0:tc>
          <ns0:tcPr>
            <ns0:tcW ns0:w="301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100</ns0:t>
            </ns0:r>
          </ns0:p>
        </ns0:tc>
      </ns0:tr>
      <ns0:tr>
        <ns0:trPr>
          <ns0:cantSplit/>
        </ns0:trPr>
        <ns0:tc>
          <ns0:tcPr>
            <ns0:tcW ns0:w="752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Ready for draft</ns0:t>
            </ns0:r>
          </ns0:p>
        </ns0:tc>
        <ns0:tc>
          <ns0:tcPr>
            <ns0:tcW ns0:w="301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0</ns0:t>
            </ns0:r>
          </ns0:p>
        </ns0:tc>
      </ns0:tr>
    </ns0:tbl>
    <ns0:p>
      <ns0:pPr>
        <ns0:pStyle ns0:val="Heading2"/>
        <ns0:bidi ns0:val="0"/>
        <ns0:jc ns0:val="start"/>
        <ns0:rPr/>
      </ns0:pPr>
      <ns0:r>
        <ns0:rPr/>
        <ns0:t>Unresolved/refuted annex summary</ns0:t>
      </ns0:r>
    </ns0:p>
    <ns0:p>
      <ns0:pPr>
        <ns0:pStyle ns0:val="TextBody"/>
        <ns0:bidi ns0:val="0"/>
        <ns0:spacing ns0:before="0" ns0:after="283"/>
        <ns0:jc ns0:val="start"/>
        <ns0:rPr/>
      </ns0:pPr>
      <ns0:r>
        <ns0:rPr/>
        <ns0:t>The v1.2.1 unresolved annex contains 877 rows:</ns0:t>
      </ns0:r>
    </ns0:p>
    <ns0:tbl>
      <ns0:tblPr>
        <ns0:tblW ns0:w="10539" ns0:type="dxa"/>
        <ns0:jc ns0:val="start"/>
        <ns0:tblInd ns0:w="0" ns0:type="dxa"/>
        <ns0:tblLayout ns0:type="fixed"/>
        <ns0:tblCellMar>
          <ns0:top ns0:w="28" ns0:type="dxa"/>
          <ns0:start ns0:w="28" ns0:type="dxa"/>
          <ns0:bottom ns0:w="28" ns0:type="dxa"/>
          <ns0:end ns0:w="28" ns0:type="dxa"/>
        </ns0:tblCellMar>
      </ns0:tblPr>
      <ns0:tblGrid>
        <ns0:gridCol ns0:w="8486"/>
        <ns0:gridCol ns0:w="2053"/>
      </ns0:tblGrid>
      <ns0:tr>
        <ns0:trPr>
          <ns0:tblHeader ns0:val="true"/>
        </ns0:trPr>
        <ns0:tc>
          <ns0:tcPr>
            <ns0:tcW ns0:w="8486"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Issue type</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bidi ns0:val="0"/>
              <ns0:spacing ns0:before="0" ns0:after="283"/>
              <ns0:jc ns0:val="end"/>
              <ns0:rPr>
                <ns0:color ns0:val="FFFFFF"/>
              </ns0:rPr>
            </ns0:pPr>
            <ns0:r>
              <ns0:rPr>
                <ns0:color ns0:val="FFFFFF"/>
              </ns0:rPr>
              <ns0:t>Rows</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Catalog identity unmatched</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235</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Identity human review required</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146</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Document gate under review</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99</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Consumer-only exclusion</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71</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Missing Label link</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111</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Identity evidence missing</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40</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Non-structural exclusion</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35</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Missing SDS link</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111</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Municipal/vector exclusion</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8</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Human review required</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8</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Family or generic row</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6</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Professional scope required</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2</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Reviewed override blocked</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2</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Fact disagreement</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1</ns0:t>
            </ns0:r>
          </ns0:p>
        </ns0:tc>
      </ns0:tr>
      <ns0:tr>
        <ns0:trPr>
          <ns0:cantSplit/>
        </ns0:trPr>
        <ns0:tc>
          <ns0:tcPr>
            <ns0:tcW ns0:w="8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Shared article subject collision</ns0:t>
            </ns0:r>
          </ns0:p>
        </ns0:tc>
        <ns0:tc>
          <ns0:tcPr>
            <ns0:tcW ns0:w="2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end"/>
              <ns0:rPr/>
            </ns0:pPr>
            <ns0:r>
              <ns0:rPr/>
              <ns0:t>2</ns0:t>
            </ns0:r>
          </ns0:p>
        </ns0:tc>
      </ns0:tr>
    </ns0:tbl>
    <ns0:p>
      <ns0:pPr>
        <ns0:pStyle ns0:val="TextBody"/>
        <ns0:bidi ns0:val="0"/>
        <ns0:spacing ns0:before="0" ns0:after="283"/>
        <ns0:jc ns0:val="start"/>
        <ns0:rPr/>
      </ns0:pPr>
      <ns0:r>
        <ns0:rPr/>
        <ns0:t>These rows preserve uncertainty for audit. They do not permit filling identity, rates, registrations, PPE, restrictions, or directions by inference. [S05]</ns0:t>
      </ns0:r>
    </ns0:p>
    <ns0:p>
      <ns0:pPr>
        <ns0:pStyle ns0:val="Heading2"/>
        <ns0:bidi ns0:val="0"/>
        <ns0:jc ns0:val="start"/>
        <ns0:rPr/>
      </ns0:pPr>
      <ns0:r>
        <ns0:rPr/>
        <ns0:t>Red-team risk review</ns0:t>
      </ns0:r>
    </ns0:p>
    <ns0:p>
      <ns0:pPr>
        <ns0:pStyle ns0:val="TextBody"/>
        <ns0:bidi ns0:val="0"/>
        <ns0:spacing ns0:before="0" ns0:after="283"/>
        <ns0:jc ns0:val="start"/>
        <ns0:rPr/>
      </ns0:pPr>
      <ns0:r>
        <ns0:rPr/>
        <ns0:t>The v1.2.1 red-team sidecar has no open HIGH or CRITICAL finding. Its open MEDIUM risks remain blocked and nonpublic. [S06]</ns0:t>
      </ns0:r>
    </ns0:p>
    <ns0:p>
      <ns0:pPr>
        <ns0:pStyle ns0:val="TextBody"/>
        <ns0:bidi ns0:val="0"/>
        <ns0:spacing ns0:before="0" ns0:after="283"/>
        <ns0:jc ns0:val="start"/>
        <ns0:rPr/>
      </ns0:pPr>
      <ns0:r>
        <ns0:rPr/>
        <ns0:t>Source independence is not a blanket property. Same-publisher URLs or groups are not independent evidence, and changing text or group names within one publisher does not create independent support. [S06]</ns0:t>
      </ns0:r>
    </ns0:p>
    <ns0:p>
      <ns0:pPr>
        <ns0:pStyle ns0:val="TextBody"/>
        <ns0:bidi ns0:val="0"/>
        <ns0:spacing ns0:before="0" ns0:after="283"/>
        <ns0:jc ns0:val="start"/>
        <ns0:rPr/>
      </ns0:pPr>
      <ns0:r>
        <ns0:rPr/>
        <ns0:t>The CDC route returned HTTP 403. It remains unresolved and retry-required, not dead; a future authoritative route or successful retry is needed before relying on that material. [S06]</ns0:t>
      </ns0:r>
    </ns0:p>
    <ns0:p>
      <ns0:pPr>
        <ns0:pStyle ns0:val="TextBody"/>
        <ns0:bidi ns0:val="0"/>
        <ns0:spacing ns0:before="0" ns0:after="283"/>
        <ns0:jc ns0:val="start"/>
        <ns0:rPr/>
      </ns0:pPr>
      <ns0:r>
        <ns0:rPr/>
        <ns0:t>Commercial and manufacturer sources are limited to narrow claim ceilings. No open access or research finding overrides the public-fact gate: public facts remain fail-closed. [S06]</ns0:t>
      </ns0:r>
    </ns0:p>
    <ns0:p>
      <ns0:pPr>
        <ns0:pStyle ns0:val="Heading2"/>
        <ns0:bidi ns0:val="0"/>
        <ns0:jc ns0:val="start"/>
        <ns0:rPr/>
      </ns0:pPr>
      <ns0:r>
        <ns0:rPr/>
        <ns0:t>Methodology/reproducibility</ns0:t>
      </ns0:r>
    </ns0:p>
    <ns0:p>
      <ns0:pPr>
        <ns0:pStyle ns0:val="TextBody"/>
        <ns0:bidi ns0:val="0"/>
        <ns0:spacing ns0:before="0" ns0:after="283"/>
        <ns0:jc ns0:val="start"/>
        <ns0:rPr/>
      </ns0:pPr>
      <ns0:r>
        <ns0:rPr/>
        <ns0:t>This report distinguishes measured values from deterministic derivations, publication policy, and unresolved evidence. Measured values come from the bound v1.2.1 SQLite, manifest, CSVs, QA record, review sidecar, and G019 receipt. [S01][S02][S06][S07]</ns0:t>
      </ns0:r>
    </ns0:p>
    <ns0:p>
      <ns0:pPr>
        <ns0:pStyle ns0:val="TextBody"/>
        <ns0:bidi ns0:val="0"/>
        <ns0:spacing ns0:before="0" ns0:after="283"/>
        <ns0:jc ns0:val="start"/>
        <ns0:rPr/>
      </ns0:pPr>
      <ns0:r>
        <ns0:rPr/>
        <ns0:t xml:space="preserve">The release contract measures package version </ns0:t>
      </ns0:r>
      <ns0:r>
        <ns0:rPr>
          <ns0:rStyle ns0:val="SourceText"/>
        </ns0:rPr>
        <ns0:t>1.2.1</ns0:t>
      </ns0:r>
      <ns0:r>
        <ns0:rPr/>
        <ns0:t>, 877 unresolved rows, four accepted document reviews, 2,149 catalog products, and 34,770 document pages directly from the declared SQLite database before rendering. [S01]</ns0:t>
      </ns0:r>
    </ns0:p>
    <ns0:p>
      <ns0:pPr>
        <ns0:pStyle ns0:val="TextBody"/>
        <ns0:bidi ns0:val="0"/>
        <ns0:spacing ns0:before="0" ns0:after="283"/>
        <ns0:jc ns0:val="start"/>
        <ns0:rPr/>
      </ns0:pPr>
      <ns0:r>
        <ns0:rPr/>
        <ns0:t>The report renderer snapshots Markdown, validates HTML/PDF/DOCX artifacts in a staging directory, and records source and artifact identities in its companion manifest. [S09]</ns0:t>
      </ns0:r>
    </ns0:p>
    <ns0:p>
      <ns0:pPr>
        <ns0:pStyle ns0:val="Heading2"/>
        <ns0:bidi ns0:val="0"/>
        <ns0:jc ns0:val="start"/>
        <ns0:rPr/>
      </ns0:pPr>
      <ns0:r>
        <ns0:rPr/>
        <ns0:t>Numbered sources/data dictionary</ns0:t>
      </ns0:r>
    </ns0:p>
    <ns0:p>
      <ns0:pPr>
        <ns0:pStyle ns0:val="Heading3"/>
        <ns0:bidi ns0:val="0"/>
        <ns0:jc ns0:val="start"/>
        <ns0:rPr/>
      </ns0:pPr>
      <ns0:r>
        <ns0:rPr/>
        <ns0:t>Numbered source register</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[S01] v1.2.1 manifest and SQLite.</ns0:t>
      </ns0:r>
      <ns0:r>
        <ns0:rPr/>
        <ns0:t xml:space="preserve"> </ns0:t>
      </ns0:r>
      <ns0:r>
        <ns0:rPr>
          <ns0:rStyle ns0:val="SourceText"/>
        </ns0:rPr>
        <ns0:t>pest-docs/chemical_knowledge/build/chemical-knowledge-v1.2.1/manifest.json</ns0:t>
      </ns0:r>
      <ns0:r>
        <ns0:rPr/>
        <ns0:t xml:space="preserve"> and </ns0:t>
      </ns0:r>
      <ns0:r>
        <ns0:rPr>
          <ns0:rStyle ns0:val="SourceText"/>
        </ns0:rPr>
        <ns0:t>chemical-knowledge.sqlite</ns0:t>
      </ns0:r>
      <ns0:r>
        <ns0:rPr/>
        <ns0:t xml:space="preserve">. SHA-256 values </ns0:t>
      </ns0:r>
      <ns0:r>
        <ns0:rPr>
          <ns0:rStyle ns0:val="SourceText"/>
        </ns0:rPr>
        <ns0:t>61ba3d0857229cb117d0393937ae97b4fdf1ede1ade0eec100d817bddcd3823c</ns0:t>
      </ns0:r>
      <ns0:r>
        <ns0:rPr/>
        <ns0:t xml:space="preserve"> and </ns0:t>
      </ns0:r>
      <ns0:r>
        <ns0:rPr>
          <ns0:rStyle ns0:val="SourceText"/>
        </ns0:rPr>
        <ns0:t>91cb8b86231cec6f738d7f33dce4c1015fb7e9d344e039c3e16b0d2ee7e6da7d</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[S02] v1.2.1 QA record.</ns0:t>
      </ns0:r>
      <ns0:r>
        <ns0:rPr/>
        <ns0:t xml:space="preserve"> </ns0:t>
      </ns0:r>
      <ns0:r>
        <ns0:rPr>
          <ns0:rStyle ns0:val="SourceText"/>
        </ns0:rPr>
        <ns0:t>pest-docs/chemical_knowledge/build/chemical-knowledge-v1.2.1/qa.json</ns0:t>
      </ns0:r>
      <ns0:r>
        <ns0:rPr/>
        <ns0:t xml:space="preserve">. SHA-256 </ns0:t>
      </ns0:r>
      <ns0:r>
        <ns0:rPr>
          <ns0:rStyle ns0:val="SourceText"/>
        </ns0:rPr>
        <ns0:t>90a7bd68020ca1f30304e8b3d36c34b09571300c7bcdb9b017098900ae7ed0c0</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[S03] v1.2.1 editorial backlog.</ns0:t>
      </ns0:r>
      <ns0:r>
        <ns0:rPr/>
        <ns0:t xml:space="preserve"> </ns0:t>
      </ns0:r>
      <ns0:r>
        <ns0:rPr>
          <ns0:rStyle ns0:val="SourceText"/>
        </ns0:rPr>
        <ns0:t>pest-docs/chemical_knowledge/build/chemical-knowledge-v1.2.1/article-backlog.csv</ns0:t>
      </ns0:r>
      <ns0:r>
        <ns0:rPr/>
        <ns0:t xml:space="preserve">. SHA-256 </ns0:t>
      </ns0:r>
      <ns0:r>
        <ns0:rPr>
          <ns0:rStyle ns0:val="SourceText"/>
        </ns0:rPr>
        <ns0:t>72031b49802e7b7e4ae2afda451490e4d58619842960d8a7f6ec20d8e1d9d84c</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[S04] v1.2.1 article universe.</ns0:t>
      </ns0:r>
      <ns0:r>
        <ns0:rPr/>
        <ns0:t xml:space="preserve"> </ns0:t>
      </ns0:r>
      <ns0:r>
        <ns0:rPr>
          <ns0:rStyle ns0:val="SourceText"/>
        </ns0:rPr>
        <ns0:t>pest-docs/chemical_knowledge/build/chemical-knowledge-v1.2.1/article-universe.csv</ns0:t>
      </ns0:r>
      <ns0:r>
        <ns0:rPr/>
        <ns0:t xml:space="preserve">. SHA-256 </ns0:t>
      </ns0:r>
      <ns0:r>
        <ns0:rPr>
          <ns0:rStyle ns0:val="SourceText"/>
        </ns0:rPr>
        <ns0:t>bc4e533d10492efd6e6de558c636d9f0ffccb2b0742362fb295636e5dca0cc09</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[S05] v1.2.1 unresolved annex.</ns0:t>
      </ns0:r>
      <ns0:r>
        <ns0:rPr/>
        <ns0:t xml:space="preserve"> </ns0:t>
      </ns0:r>
      <ns0:r>
        <ns0:rPr>
          <ns0:rStyle ns0:val="SourceText"/>
        </ns0:rPr>
        <ns0:t>pest-docs/chemical_knowledge/build/chemical-knowledge-v1.2.1/unresolved-annex.csv</ns0:t>
      </ns0:r>
      <ns0:r>
        <ns0:rPr/>
        <ns0:t xml:space="preserve">. SHA-256 </ns0:t>
      </ns0:r>
      <ns0:r>
        <ns0:rPr>
          <ns0:rStyle ns0:val="SourceText"/>
        </ns0:rPr>
        <ns0:t>2ba60336a004ae122429d2db0ed2c8a3f8d4a0be50cb9e1db80b2a3d3e9792d2</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[S06] G020 red-team findings.</ns0:t>
      </ns0:r>
      <ns0:r>
        <ns0:rPr/>
        <ns0:t xml:space="preserve"> </ns0:t>
      </ns0:r>
      <ns0:r>
        <ns0:rPr>
          <ns0:rStyle ns0:val="SourceText"/>
        </ns0:rPr>
        <ns0:t>pest-docs/chemical_knowledge/review/red-team-findings-v1.csv</ns0:t>
      </ns0:r>
      <ns0:r>
        <ns0:rPr/>
        <ns0:t xml:space="preserve">. SHA-256 </ns0:t>
      </ns0:r>
      <ns0:r>
        <ns0:rPr>
          <ns0:rStyle ns0:val="SourceText"/>
        </ns0:rPr>
        <ns0:t>50aeb84e34dfca7bce538885209d7991cf197a0e4e73e00f5cea62e432f2d278</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[S07] G019 production receipt.</ns0:t>
      </ns0:r>
      <ns0:r>
        <ns0:rPr/>
        <ns0:t xml:space="preserve"> </ns0:t>
      </ns0:r>
      <ns0:r>
        <ns0:rPr>
          <ns0:rStyle ns0:val="SourceText"/>
        </ns0:rPr>
        <ns0:t>.omo/evidence/ulw/chemical-knowledge-20260806/G019-site-data-model-evidence-layer-ui-im/a1/implementation/evidence.md</ns0:t>
      </ns0:r>
      <ns0:r>
        <ns0:rPr/>
        <ns0:t xml:space="preserve">. SHA-256 </ns0:t>
      </ns0:r>
      <ns0:r>
        <ns0:rPr>
          <ns0:rStyle ns0:val="SourceText"/>
        </ns0:rPr>
        <ns0:t>51089f8828795eee4a23971c39b02ed8e8cb11b11ce1e9b06e79c0b4cf7ec8cc</ns0:t>
      </ns0:r>
      <ns0:r>
        <ns0:rPr/>
        <ns0:t xml:space="preserve">. </ns0:t>
      </ns0:r>
    </ns0:p>
    <ns0:p>
      <ns0:pPr>
        <ns0:pStyle ns0:val="TextBody"/>
        <ns0:numPr>
          <ns0:ilvl ns0:val="0"/>
          <ns0:numId ns0:val="1"/>
        </ns0:numPr>
        <ns0:tabs>
          <ns0:tab ns0:val="clear" ns0:pos="1134"/>
          <ns0:tab ns0:val="left" ns0:pos="709" ns0:leader="none"/>
        </ns0:tabs>
        <ns0:bidi ns0:val="0"/>
        <ns0:spacing ns0:before="0" ns0:after="0"/>
        <ns0:ind ns0:start="709" ns0:hanging="283"/>
        <ns0:jc ns0:val="start"/>
        <ns0:rPr/>
        <ns0:keepLines/>
      </ns0:pPr>
      <ns0:r>
        <ns0:rPr>
          <ns0:rStyle ns0:val="StrongEmphasis"/>
        </ns0:rPr>
        <ns0:t>[S08] Binding brief.</ns0:t>
      </ns0:r>
      <ns0:r>
        <ns0:rPr/>
        <ns0:t xml:space="preserve"> </ns0:t>
      </ns0:r>
      <ns0:r>
        <ns0:rPr>
          <ns0:rStyle ns0:val="SourceText"/>
        </ns0:rPr>
        <ns0:t>.omo/ulw-loop/chemical-knowledge-20260806/brief.md</ns0:t>
      </ns0:r>
      <ns0:r>
        <ns0:rPr/>
        <ns0:t xml:space="preserve">. SHA-256 </ns0:t>
      </ns0:r>
      <ns0:r>
        <ns0:rPr>
          <ns0:rStyle ns0:val="SourceText"/>
        </ns0:rPr>
        <ns0:t>fa5c7b7ce447b3c20d2ccd9260c30f71fdc3828a9bf084078410e340d8fb8767</ns0:t>
      </ns0:r>
      <ns0:r>
        <ns0:rPr/>
        <ns0:t xml:space="preserve">. </ns0:t>
      </ns0:r>
    </ns0:p>
    <ns0:p>
      <ns0:pPr>
        <ns0:pStyle ns0:val="TextBody"/>
        <ns0:numPr>
          <ns0:ilvl ns0:val="0"/>
          <ns0:numId ns0:val="1"/>
        </ns0:numPr>
        <ns0:tabs>
          <ns0:tab ns0:val="clear" ns0:pos="1134"/>
          <ns0:tab ns0:val="left" ns0:pos="709" ns0:leader="none"/>
        </ns0:tabs>
        <ns0:bidi ns0:val="0"/>
        <ns0:ind ns0:start="709" ns0:hanging="283"/>
        <ns0:jc ns0:val="start"/>
        <ns0:rPr/>
        <ns0:keepLines/>
      </ns0:pPr>
      <ns0:r>
        <ns0:rPr>
          <ns0:rStyle ns0:val="StrongEmphasis"/>
        </ns0:rPr>
        <ns0:t>[S09] Report provenance.</ns0:t>
      </ns0:r>
      <ns0:r>
        <ns0:rPr/>
        <ns0:t xml:space="preserve"> Companion </ns0:t>
      </ns0:r>
      <ns0:r>
        <ns0:rPr>
          <ns0:rStyle ns0:val="SourceText"/>
        </ns0:rPr>
        <ns0:t>pest-docs/chemical_knowledge/report/REPORT.manifest.json</ns0:t>
      </ns0:r>
      <ns0:r>
        <ns0:rPr/>
        <ns0:t xml:space="preserve">, generated after source and cross-format validation. </ns0:t>
      </ns0:r>
    </ns0:p>
    <ns0:p>
      <ns0:pPr>
        <ns0:pStyle ns0:val="Heading3"/>
        <ns0:bidi ns0:val="0"/>
        <ns0:jc ns0:val="start"/>
        <ns0:rPr/>
      </ns0:pPr>
      <ns0:r>
        <ns0:rPr/>
        <ns0:t>Concise data dictionary</ns0:t>
      </ns0:r>
    </ns0:p>
    <ns0:tbl>
      <ns0:tblPr>
        <ns0:tblW ns0:w="10539" ns0:type="dxa"/>
        <ns0:jc ns0:val="start"/>
        <ns0:tblInd ns0:w="0" ns0:type="dxa"/>
        <ns0:tblLayout ns0:type="fixed"/>
        <ns0:tblCellMar>
          <ns0:top ns0:w="28" ns0:type="dxa"/>
          <ns0:start ns0:w="28" ns0:type="dxa"/>
          <ns0:bottom ns0:w="28" ns0:type="dxa"/>
          <ns0:end ns0:w="28" ns0:type="dxa"/>
        </ns0:tblCellMar>
      </ns0:tblPr>
      <ns0:tblGrid>
        <ns0:gridCol ns0:w="4053"/>
        <ns0:gridCol ns0:w="6486"/>
      </ns0:tblGrid>
      <ns0:tr>
        <ns0:trPr>
          <ns0:tblHeader ns0:val="true"/>
        </ns0:trPr>
        <ns0:tc>
          <ns0:tcPr>
            <ns0:tcW ns0:w="4053"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Data object</ns0:t>
            </ns0:r>
          </ns0:p>
        </ns0:tc>
        <ns0:tc>
          <ns0:tcPr>
            <ns0:tcW ns0:w="6486"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Meaning and publication boundary</ns0:t>
            </ns0:r>
          </ns0:p>
        </ns0:tc>
      </ns0:tr>
      <ns0:tr>
        <ns0:trPr>
          <ns0:cantSplit/>
        </ns0:trPr>
        <ns0:tc>
          <ns0:tcPr>
            <ns0:tcW ns0:w="4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subjects</ns0:t>
            </ns0:r>
            <ns0:r>
              <ns0:rPr/>
              <ns0:t xml:space="preserve">, </ns0:t>
            </ns0:r>
            <ns0:r>
              <ns0:rPr>
                <ns0:rStyle ns0:val="SourceText"/>
              </ns0:rPr>
              <ns0:t>identity_reviews</ns0:t>
            </ns0:r>
            <ns0:r>
              <ns0:rPr/>
              <ns0:t xml:space="preserve">, </ns0:t>
            </ns0:r>
            <ns0:r>
              <ns0:rPr>
                <ns0:rStyle ns0:val="SourceText"/>
              </ns0:rPr>
              <ns0:t>external_keys</ns0:t>
            </ns0:r>
          </ns0:p>
        </ns0:tc>
        <ns0:tc>
          <ns0:tcPr>
            <ns0:tcW ns0:w="6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Stable research identity, human decision, and catalog-fingerprint-qualified route key. Snapshot-local integers remain provenance.</ns0:t>
            </ns0:r>
          </ns0:p>
        </ns0:tc>
      </ns0:tr>
      <ns0:tr>
        <ns0:trPr>
          <ns0:cantSplit/>
        </ns0:trPr>
        <ns0:tc>
          <ns0:tcPr>
            <ns0:tcW ns0:w="4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documents</ns0:t>
            </ns0:r>
            <ns0:r>
              <ns0:rPr/>
              <ns0:t xml:space="preserve">, </ns0:t>
            </ns0:r>
            <ns0:r>
              <ns0:rPr>
                <ns0:rStyle ns0:val="SourceText"/>
              </ns0:rPr>
              <ns0:t>document_paths</ns0:t>
            </ns0:r>
            <ns0:r>
              <ns0:rPr/>
              <ns0:t xml:space="preserve">, </ns0:t>
            </ns0:r>
            <ns0:r>
              <ns0:rPr>
                <ns0:rStyle ns0:val="SourceText"/>
              </ns0:rPr>
              <ns0:t>document_bindings</ns0:t>
            </ns0:r>
            <ns0:r>
              <ns0:rPr/>
              <ns0:t xml:space="preserve">, </ns0:t>
            </ns0:r>
            <ns0:r>
              <ns0:rPr>
                <ns0:rStyle ns0:val="SourceText"/>
              </ns0:rPr>
              <ns0:t>document_pages</ns0:t>
            </ns0:r>
          </ns0:p>
        </ns0:tc>
        <ns0:tc>
          <ns0:tcPr>
            <ns0:tcW ns0:w="6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Physical SHA asset, path provenance, many-to-many product/role binding, and internal page record.</ns0:t>
            </ns0:r>
          </ns0:p>
        </ns0:tc>
      </ns0:tr>
      <ns0:tr>
        <ns0:trPr>
          <ns0:cantSplit/>
        </ns0:trPr>
        <ns0:tc>
          <ns0:tcPr>
            <ns0:tcW ns0:w="4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facts</ns0:t>
            </ns0:r>
            <ns0:r>
              <ns0:rPr/>
              <ns0:t xml:space="preserve">, </ns0:t>
            </ns0:r>
            <ns0:r>
              <ns0:rPr>
                <ns0:rStyle ns0:val="SourceText"/>
              </ns0:rPr>
              <ns0:t>fact_disagreements</ns0:t>
            </ns0:r>
            <ns0:r>
              <ns0:rPr/>
              <ns0:t xml:space="preserve">, </ns0:t>
            </ns0:r>
            <ns0:r>
              <ns0:rPr>
                <ns0:rStyle ns0:val="SourceText"/>
              </ns0:rPr>
              <ns0:t>unresolved_items</ns0:t>
            </ns0:r>
          </ns0:p>
        </ns0:tc>
        <ns0:tc>
          <ns0:tcPr>
            <ns0:tcW ns0:w="6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Page-linked candidate fact, retained disagreement, and named blocker. Regulated facts remain blocked unless their complete gate passes.</ns0:t>
            </ns0:r>
          </ns0:p>
        </ns0:tc>
      </ns0:tr>
      <ns0:tr>
        <ns0:trPr>
          <ns0:cantSplit/>
        </ns0:trPr>
        <ns0:tc>
          <ns0:tcPr>
            <ns0:tcW ns0:w="4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research_source_details</ns0:t>
            </ns0:r>
            <ns0:r>
              <ns0:rPr/>
              <ns0:t xml:space="preserve">, </ns0:t>
            </ns0:r>
            <ns0:r>
              <ns0:rPr>
                <ns0:rStyle ns0:val="SourceText"/>
              </ns0:rPr>
              <ns0:t>research_claims</ns0:t>
            </ns0:r>
          </ns0:p>
        </ns0:tc>
        <ns0:tc>
          <ns0:tcPr>
            <ns0:tcW ns0:w="6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Source metadata and typed claim with ceiling and non-authorizing effect.</ns0:t>
            </ns0:r>
          </ns0:p>
        </ns0:tc>
      </ns0:tr>
      <ns0:tr>
        <ns0:trPr>
          <ns0:cantSplit/>
        </ns0:trPr>
        <ns0:tc>
          <ns0:tcPr>
            <ns0:tcW ns0:w="4053"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rStyle ns0:val="SourceText"/>
              </ns0:rPr>
              <ns0:t>backlog_articles</ns0:t>
            </ns0:r>
            <ns0:r>
              <ns0:rPr/>
              <ns0:t xml:space="preserve">, </ns0:t>
            </ns0:r>
            <ns0:r>
              <ns0:rPr>
                <ns0:rStyle ns0:val="SourceText"/>
              </ns0:rPr>
              <ns0:t>editorial_backlog</ns0:t>
            </ns0:r>
            <ns0:r>
              <ns0:rPr/>
              <ns0:t xml:space="preserve">, </ns0:t>
            </ns0:r>
            <ns0:r>
              <ns0:rPr>
                <ns0:rStyle ns0:val="SourceText"/>
              </ns0:rPr>
              <ns0:t>editorial_article_sources</ns0:t>
            </ns0:r>
          </ns0:p>
        </ns0:tc>
        <ns0:tc>
          <ns0:tcPr>
            <ns0:tcW ns0:w="6486"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Audited article universe, lane-specific readiness/priority projection, and source-independence metadata.</ns0:t>
            </ns0:r>
          </ns0:p>
        </ns0:tc>
      </ns0:tr>
    </ns0:tbl>
    <ns0:p>
      <ns0:pPr>
        <ns0:pStyle ns0:val="Heading2"/>
        <ns0:bidi ns0:val="0"/>
        <ns0:jc ns0:val="start"/>
        <ns0:rPr/>
      </ns0:pPr>
      <ns0:r>
        <ns0:rPr/>
        <ns0:t>Correction/validation log</ns0:t>
      </ns0:r>
    </ns0:p>
    <ns0:tbl>
      <ns0:tblPr>
        <ns0:tblW ns0:w="10539" ns0:type="dxa"/>
        <ns0:jc ns0:val="start"/>
        <ns0:tblInd ns0:w="0" ns0:type="dxa"/>
        <ns0:tblLayout ns0:type="fixed"/>
        <ns0:tblCellMar>
          <ns0:top ns0:w="28" ns0:type="dxa"/>
          <ns0:start ns0:w="28" ns0:type="dxa"/>
          <ns0:bottom ns0:w="28" ns0:type="dxa"/>
          <ns0:end ns0:w="28" ns0:type="dxa"/>
        </ns0:tblCellMar>
      </ns0:tblPr>
      <ns0:tblGrid>
        <ns0:gridCol ns0:w="1264"/>
        <ns0:gridCol ns0:w="2950"/>
        <ns0:gridCol ns0:w="6325"/>
      </ns0:tblGrid>
      <ns0:tr>
        <ns0:trPr>
          <ns0:tblHeader ns0:val="true"/>
        </ns0:trPr>
        <ns0:tc>
          <ns0:tcPr>
            <ns0:tcW ns0:w="1264" ns0:type="dxa"/>
            <ns0:tcBorders>
              <ns0:top ns0:val="single" ns0:sz="4" ns0:color="CBD5E1"/>
              <ns0:start ns0:val="single" ns0:sz="4" ns0:color="CBD5E1"/>
              <ns0:bottom ns0:val="single" ns0:sz="4" ns0:color="CBD5E1"/>
              <ns0:end ns0:val="single" ns0:sz="4" ns0:color="CBD5E1"/>
            </ns0:tcBorders>
            <ns0:vAlign ns0:val="center"/>
            <ns0:shd ns0:val="clear" ns0:fill="134E4A"/>
            <ns0:noWrap/>
          </ns0:tcPr>
          <ns0:p>
            <ns0:pPr>
              <ns0:pStyle ns0:val="TableHeading"/>
              <ns0:suppressLineNumbers/>
              <ns0:bidi ns0:val="0"/>
              <ns0:spacing ns0:before="0" ns0:after="283"/>
              <ns0:jc ns0:val="center"/>
              <ns0:rPr>
                <ns0:color ns0:val="FFFFFF"/>
              </ns0:rPr>
            </ns0:pPr>
            <ns0:r>
              <ns0:rPr>
                <ns0:color ns0:val="FFFFFF"/>
              </ns0:rPr>
              <ns0:t>ID</ns0:t>
            </ns0:r>
          </ns0:p>
        </ns0:tc>
        <ns0:tc>
          <ns0:tcPr>
            <ns0:tcW ns0:w="2950"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Correction</ns0:t>
            </ns0:r>
          </ns0:p>
        </ns0:tc>
        <ns0:tc>
          <ns0:tcPr>
            <ns0:tcW ns0:w="6325" ns0:type="dxa"/>
            <ns0:tcBorders>
              <ns0:top ns0:val="single" ns0:sz="4" ns0:color="CBD5E1"/>
              <ns0:start ns0:val="single" ns0:sz="4" ns0:color="CBD5E1"/>
              <ns0:bottom ns0:val="single" ns0:sz="4" ns0:color="CBD5E1"/>
              <ns0:end ns0:val="single" ns0:sz="4" ns0:color="CBD5E1"/>
            </ns0:tcBorders>
            <ns0:vAlign ns0:val="center"/>
            <ns0:shd ns0:val="clear" ns0:fill="134E4A"/>
          </ns0:tcPr>
          <ns0:p>
            <ns0:pPr>
              <ns0:pStyle ns0:val="TableHeading"/>
              <ns0:suppressLineNumbers/>
              <ns0:bidi ns0:val="0"/>
              <ns0:spacing ns0:before="0" ns0:after="283"/>
              <ns0:jc ns0:val="center"/>
              <ns0:rPr>
                <ns0:color ns0:val="FFFFFF"/>
              </ns0:rPr>
            </ns0:pPr>
            <ns0:r>
              <ns0:rPr>
                <ns0:color ns0:val="FFFFFF"/>
              </ns0:rPr>
              <ns0:t>Verified outcome</ns0:t>
            </ns0:r>
          </ns0:p>
        </ns0:tc>
      </ns0:tr>
      <ns0:tr>
        <ns0:trPr>
          <ns0:cantSplit/>
        </ns0:trPr>
        <ns0:tc>
          <ns0:tcPr>
            <ns0:tcW ns0:w="1264" ns0:type="dxa"/>
            <ns0:tcBorders>
              <ns0:top ns0:val="single" ns0:sz="4" ns0:color="CBD5E1"/>
              <ns0:start ns0:val="single" ns0:sz="4" ns0:color="CBD5E1"/>
              <ns0:bottom ns0:val="single" ns0:sz="4" ns0:color="CBD5E1"/>
              <ns0:end ns0:val="single" ns0:sz="4" ns0:color="CBD5E1"/>
            </ns0:tcBorders>
            <ns0:vAlign ns0:val="center"/>
            <ns0:noWrap/>
          </ns0:tcPr>
          <ns0:p>
            <ns0:pPr>
              <ns0:pStyle ns0:val="TableContents"/>
              <ns0:bidi ns0:val="0"/>
              <ns0:spacing ns0:before="0" ns0:after="283"/>
              <ns0:jc ns0:val="start"/>
              <ns0:rPr/>
            </ns0:pPr>
            <ns0:r>
              <ns0:rPr/>
              <ns0:t>CV-01</ns0:t>
            </ns0:r>
          </ns0:p>
        </ns0:tc>
        <ns0:tc>
          <ns0:tcPr>
            <ns0:tcW ns0:w="2950"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Rebound the report from v1.2.0 to v1.2.1.</ns0:t>
            </ns0:r>
          </ns0:p>
        </ns0:tc>
        <ns0:tc>
          <ns0:tcPr>
            <ns0:tcW ns0:w="6325"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Frontmatter binds the v1.2.1 manifest, SQLite, red-team sidecar, and database-measured release counts.</ns0:t>
            </ns0:r>
          </ns0:p>
        </ns0:tc>
      </ns0:tr>
      <ns0:tr>
        <ns0:trPr>
          <ns0:cantSplit/>
        </ns0:trPr>
        <ns0:tc>
          <ns0:tcPr>
            <ns0:tcW ns0:w="1264" ns0:type="dxa"/>
            <ns0:tcBorders>
              <ns0:top ns0:val="single" ns0:sz="4" ns0:color="CBD5E1"/>
              <ns0:start ns0:val="single" ns0:sz="4" ns0:color="CBD5E1"/>
              <ns0:bottom ns0:val="single" ns0:sz="4" ns0:color="CBD5E1"/>
              <ns0:end ns0:val="single" ns0:sz="4" ns0:color="CBD5E1"/>
            </ns0:tcBorders>
            <ns0:vAlign ns0:val="center"/>
            <ns0:noWrap/>
          </ns0:tcPr>
          <ns0:p>
            <ns0:pPr>
              <ns0:pStyle ns0:val="TableContents"/>
              <ns0:bidi ns0:val="0"/>
              <ns0:spacing ns0:before="0" ns0:after="283"/>
              <ns0:jc ns0:val="start"/>
              <ns0:rPr/>
            </ns0:pPr>
            <ns0:r>
              <ns0:rPr/>
              <ns0:t>CV-02</ns0:t>
            </ns0:r>
          </ns0:p>
        </ns0:tc>
        <ns0:tc>
          <ns0:tcPr>
            <ns0:tcW ns0:w="2950"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Replaced stale backlog, catalog, review, and page counts.</ns0:t>
            </ns0:r>
          </ns0:p>
        </ns0:tc>
        <ns0:tc>
          <ns0:tcPr>
            <ns0:tcW ns0:w="6325"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The report records 467 articles, readiness 451 at 0 and 16 at 40, catalog 2,149, four accepted reviews, 34,770 pages, and 877 unresolved rows.</ns0:t>
            </ns0:r>
          </ns0:p>
        </ns0:tc>
      </ns0:tr>
      <ns0:tr>
        <ns0:trPr>
          <ns0:cantSplit/>
        </ns0:trPr>
        <ns0:tc>
          <ns0:tcPr>
            <ns0:tcW ns0:w="1264" ns0:type="dxa"/>
            <ns0:tcBorders>
              <ns0:top ns0:val="single" ns0:sz="4" ns0:color="CBD5E1"/>
              <ns0:start ns0:val="single" ns0:sz="4" ns0:color="CBD5E1"/>
              <ns0:bottom ns0:val="single" ns0:sz="4" ns0:color="CBD5E1"/>
              <ns0:end ns0:val="single" ns0:sz="4" ns0:color="CBD5E1"/>
            </ns0:tcBorders>
            <ns0:vAlign ns0:val="center"/>
            <ns0:noWrap/>
          </ns0:tcPr>
          <ns0:p>
            <ns0:pPr>
              <ns0:pStyle ns0:val="TableContents"/>
              <ns0:bidi ns0:val="0"/>
              <ns0:spacing ns0:before="0" ns0:after="283"/>
              <ns0:jc ns0:val="start"/>
              <ns0:rPr/>
              <ns0:keepNext/>
            </ns0:pPr>
            <ns0:r>
              <ns0:rPr/>
              <ns0:t>CV-03</ns0:t>
            </ns0:r>
          </ns0:p>
        </ns0:tc>
        <ns0:tc>
          <ns0:tcPr>
            <ns0:tcW ns0:w="2950"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keepNext/>
            </ns0:pPr>
            <ns0:r>
              <ns0:rPr/>
              <ns0:t>Added red-team publication constraints.</ns0:t>
            </ns0:r>
          </ns0:p>
        </ns0:tc>
        <ns0:tc>
          <ns0:tcPr>
            <ns0:tcW ns0:w="6325"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keepNext/>
            </ns0:pPr>
            <ns0:r>
              <ns0:rPr/>
              <ns0:t>No HIGH/CRITICAL finding is open; open MEDIUM risks stay blocked and nonpublic, with source independence and CDC access described conservatively.</ns0:t>
            </ns0:r>
          </ns0:p>
        </ns0:tc>
      </ns0:tr>
      <ns0:tr>
        <ns0:trPr>
          <ns0:cantSplit/>
        </ns0:trPr>
        <ns0:tc>
          <ns0:tcPr>
            <ns0:tcW ns0:w="1264" ns0:type="dxa"/>
            <ns0:tcBorders>
              <ns0:top ns0:val="single" ns0:sz="4" ns0:color="CBD5E1"/>
              <ns0:start ns0:val="single" ns0:sz="4" ns0:color="CBD5E1"/>
              <ns0:bottom ns0:val="single" ns0:sz="4" ns0:color="CBD5E1"/>
              <ns0:end ns0:val="single" ns0:sz="4" ns0:color="CBD5E1"/>
            </ns0:tcBorders>
            <ns0:vAlign ns0:val="center"/>
            <ns0:noWrap/>
          </ns0:tcPr>
          <ns0:p>
            <ns0:pPr>
              <ns0:pStyle ns0:val="TableContents"/>
              <ns0:bidi ns0:val="0"/>
              <ns0:spacing ns0:before="0" ns0:after="283"/>
              <ns0:jc ns0:val="start"/>
              <ns0:rPr/>
              <ns0:keepNext/>
            </ns0:pPr>
            <ns0:r>
              <ns0:rPr/>
              <ns0:t>CV-04</ns0:t>
            </ns0:r>
          </ns0:p>
        </ns0:tc>
        <ns0:tc>
          <ns0:tcPr>
            <ns0:tcW ns0:w="2950"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keepNext/>
            </ns0:pPr>
            <ns0:r>
              <ns0:rPr/>
              <ns0:t>Distinguished historical local nondeployment from current production.</ns0:t>
            </ns0:r>
          </ns0:p>
        </ns0:tc>
        <ns0:tc>
          <ns0:tcPr>
            <ns0:tcW ns0:w="6325"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keepNext/>
            </ns0:pPr>
            <ns0:r>
              <ns0:rPr/>
              <ns0:t xml:space="preserve">Historical G004/G005 statements are labeled historical; current G019 deployment is identified by app SHA </ns0:t>
            </ns0:r>
            <ns0:r>
              <ns0:rPr>
                <ns0:rStyle ns0:val="SourceText"/>
              </ns0:rPr>
              <ns0:t>1e1adc9cfce0983b29699af5f52ca67dfe1beee8</ns0:t>
            </ns0:r>
            <ns0:r>
              <ns0:rPr/>
              <ns0:t>.</ns0:t>
            </ns0:r>
          </ns0:p>
        </ns0:tc>
      </ns0:tr>
      <ns0:tr>
        <ns0:trPr>
          <ns0:cantSplit/>
        </ns0:trPr>
        <ns0:tc>
          <ns0:tcPr>
            <ns0:tcW ns0:w="1264" ns0:type="dxa"/>
            <ns0:tcBorders>
              <ns0:top ns0:val="single" ns0:sz="4" ns0:color="CBD5E1"/>
              <ns0:start ns0:val="single" ns0:sz="4" ns0:color="CBD5E1"/>
              <ns0:bottom ns0:val="single" ns0:sz="4" ns0:color="CBD5E1"/>
              <ns0:end ns0:val="single" ns0:sz="4" ns0:color="CBD5E1"/>
            </ns0:tcBorders>
            <ns0:vAlign ns0:val="center"/>
            <ns0:noWrap/>
          </ns0:tcPr>
          <ns0:p>
            <ns0:pPr>
              <ns0:pStyle ns0:val="TableContents"/>
              <ns0:bidi ns0:val="0"/>
              <ns0:spacing ns0:before="0" ns0:after="283"/>
              <ns0:jc ns0:val="start"/>
              <ns0:rPr/>
            </ns0:pPr>
            <ns0:r>
              <ns0:rPr/>
              <ns0:t>CV-05</ns0:t>
            </ns0:r>
          </ns0:p>
        </ns0:tc>
        <ns0:tc>
          <ns0:tcPr>
            <ns0:tcW ns0:w="2950"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Regenerated report delivery artifacts.</ns0:t>
            </ns0:r>
          </ns0:p>
        </ns0:tc>
        <ns0:tc>
          <ns0:tcPr>
            <ns0:tcW ns0:w="6325" ns0:type="dxa"/>
            <ns0:tcBorders>
              <ns0:top ns0:val="single" ns0:sz="4" ns0:color="CBD5E1"/>
              <ns0:start ns0:val="single" ns0:sz="4" ns0:color="CBD5E1"/>
              <ns0:bottom ns0:val="single" ns0:sz="4" ns0:color="CBD5E1"/>
              <ns0:end ns0:val="single" ns0:sz="4" ns0:color="CBD5E1"/>
            </ns0:tcBorders>
            <ns0:vAlign ns0:val="center"/>
          </ns0:tcPr>
          <ns0:p>
            <ns0:pPr>
              <ns0:pStyle ns0:val="TableContents"/>
              <ns0:bidi ns0:val="0"/>
              <ns0:spacing ns0:before="0" ns0:after="283"/>
              <ns0:jc ns0:val="start"/>
              <ns0:rPr/>
            </ns0:pPr>
            <ns0:r>
              <ns0:rPr/>
              <ns0:t>The companion manifest records the current Markdown and HTML/PDF/DOCX identities after renderer validation.</ns0:t>
            </ns0:r>
          </ns0:p>
        </ns0:tc>
      </ns0:tr>
    </ns0:tbl>
    <ns0:p>
      <ns0:pPr>
        <ns0:pStyle ns0:val="TextBody"/>
        <ns0:bidi ns0:val="0"/>
        <ns0:spacing ns0:before="0" ns0:after="283"/>
        <ns0:jc ns0:val="start"/>
        <ns0:rPr/>
      </ns0:pPr>
      <ns0:r>
        <ns0:rPr/>
        <ns0:t>This correction log records evidence and publication controls. It does not turn blocked evidence into pesticide-use direction; any future publication pass must revalidate the exact current identity, label, jurisdiction, and evidence state.</ns0:t>
      </ns0:r>
    </ns0:p>
    <ns0:p>
      <ns0:pPr>
        <ns0:pStyle ns0:val="TextBody"/>
        <ns0:bidi ns0:val="0"/>
        <ns0:spacing ns0:before="0" ns0:after="283"/>
        <ns0:jc ns0:val="start"/>
        <ns0:rPr/>
      </ns0:pPr>
      <ns0:r>
        <ns0:rPr/>
        <ns0:t>Rendered from local Markdown. Source identity is recorded above for deterministic review and reproduction.</ns0:t>
      </ns0:r>
    </ns0:p>
    <ns0:sectPr>
      <ns0:type ns0:val="nextPage"/>
      <ns0:pgSz ns0:w="12240" ns0:h="15840"/>
      <ns0:pgMar ns0:left="1134" ns0:right="567" ns0:gutter="0" ns0:header="0" ns0:top="567" ns0:footer="0" ns0:bottom="567"/>
      <ns0:pgNumType ns0:fmt="decimal"/>
      <ns0:formProt ns0:val="false"/>
      <ns0:textDirection ns0:val="lrTb"/>
      <ns0:docGrid ns0:type="default" ns0:linePitch="600" ns0:charSpace="36864"/>
    </ns0:sectPr>
  </ns0:body>
</ns0: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altName w:val="Helvetica"/>
    <w:charset w:val="01" w:characterSet="utf-8"/>
    <w:family w:val="auto"/>
    <w:pitch w:val="default"/>
  </w:font>
  <w:font w:name="Liberation Sans Unicode MS">
    <w:charset w:val="01" w:characterSet="utf-8"/>
    <w:family w:val="auto"/>
    <w:pitch w:val="variable"/>
  </w:font>
  <w:font w:name="Liberation Mono">
    <w:altName w:val="Courier New"/>
    <w:charset w:val="01" w:characterSet="utf-8"/>
    <w:family w:val="modern"/>
    <w:pitch w:val="fixed"/>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pStyle w:val="Heading3"/>
      <w:numFmt w:val="none"/>
      <w:suff w:val="nothing"/>
      <w:lvlText w:val="%3"/>
      <w:lvlJc w:val="start"/>
      <w:pPr>
        <w:tabs>
          <w:tab w:val="num" w:pos="0"/>
        </w:tabs>
        <w:ind w:start="0" w:hanging="0"/>
      </w:pPr>
    </w:lvl>
    <w:lvl w:ilvl="3">
      <w:start w:val="1"/>
      <w:pStyle w:val="Heading4"/>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5"/>
  </w:compat>
</w:settings>
</file>

<file path=word/styles.xml><?xml version="1.0" encoding="utf-8"?>
<ns0:styles xmlns:ns0="http://schemas.openxmlformats.org/wordprocessingml/2006/main" xmlns:ns1="http://schemas.openxmlformats.org/markup-compatibility/2006" ns1:Ignorable="w14">
  <ns0:docDefaults>
    <ns0:rPrDefault>
      <ns0:rPr>
        <ns0:rFonts ns0:ascii="Liberation Serif" ns0:hAnsi="Liberation Serif" ns0:eastAsia="Noto Serif CJK SC" ns0:cs="Lohit Devanagari"/>
        <ns0:sz ns0:val="24"/>
        <ns0:szCs ns0:val="24"/>
        <ns0:lang ns0:val="en-US" ns0:eastAsia="zh-CN" ns0:bidi="hi-IN"/>
      </ns0:rPr>
    </ns0:rPrDefault>
    <ns0:pPrDefault>
      <ns0:pPr>
        <ns0:suppressAutoHyphens ns0:val="true"/>
      </ns0:pPr>
    </ns0:pPrDefault>
  </ns0:docDefaults>
  <ns0:style ns0:type="paragraph" ns0:styleId="Normal">
    <ns0:name ns0:val="Normal"/>
    <ns0:qFormat/>
    <ns0:pPr>
      <ns0:widowControl ns0:val="false"/>
      <ns0:bidi ns0:val="0"/>
      <ns0:spacing ns0:lineRule="auto" ns0:line="379"/>
    </ns0:pPr>
    <ns0:rPr>
      <ns0:rFonts ns0:ascii="Arial;Helvetica;sans-serif" ns0:hAnsi="Arial;Helvetica;sans-serif" ns0:eastAsia="Arial;Helvetica;sans-serif" ns0:cs="Arial;Helvetica;sans-serif"/>
      <ns0:b ns0:val="false"/>
      <ns0:bCs ns0:val="false"/>
      <ns0:i ns0:val="false"/>
      <ns0:iCs ns0:val="false"/>
      <ns0:caps ns0:val="false"/>
      <ns0:smallCaps ns0:val="false"/>
      <ns0:color ns0:val="auto"/>
      <ns0:sz ns0:val="22"/>
      <ns0:szCs ns0:val="22"/>
      <ns0:lang ns0:val="en-US" ns0:eastAsia="zh-CN" ns0:bidi="hi-IN"/>
    </ns0:rPr>
  </ns0:style>
  <ns0:style ns0:type="paragraph" ns0:styleId="Heading1">
    <ns0:name ns0:val="Heading 1"/>
    <ns0:basedOn ns0:val="Heading"/>
    <ns0:next ns0:val="TextBody"/>
    <ns0:qFormat/>
    <ns0:pPr>
      <ns0:spacing ns0:lineRule="auto" ns0:line="283" ns0:before="0" ns0:after="240"/>
    </ns0:pPr>
    <ns0:rPr>
      <ns0:rFonts ns0:ascii="Liberation Sans Unicode MS" ns0:hAnsi="Liberation Sans Unicode MS"/>
      <ns0:b/>
      <ns0:bCs/>
      <ns0:sz ns0:val="40"/>
      <ns0:szCs ns0:val="44"/>
      <ns0:color ns0:val="134E4A"/>
    </ns0:rPr>
  </ns0:style>
  <ns0:style ns0:type="paragraph" ns0:styleId="Heading2">
    <ns0:name ns0:val="Heading 2"/>
    <ns0:basedOn ns0:val="Heading"/>
    <ns0:next ns0:val="TextBody"/>
    <ns0:qFormat/>
    <ns0:pPr>
      <ns0:spacing ns0:lineRule="auto" ns0:line="283" ns0:before="300" ns0:after="180"/>
      <ns0:outlineLvl ns0:val="1"/>
    </ns0:pPr>
    <ns0:rPr>
      <ns0:rFonts ns0:ascii="Liberation Serif" ns0:hAnsi="Liberation Serif" ns0:eastAsia="Noto Serif CJK SC" ns0:cs="Lohit Devanagari"/>
      <ns0:b/>
      <ns0:bCs/>
      <ns0:sz ns0:val="30"/>
      <ns0:szCs ns0:val="36"/>
      <ns0:color ns0:val="0F766E"/>
    </ns0:rPr>
  </ns0:style>
  <ns0:style ns0:type="paragraph" ns0:styleId="Heading3">
    <ns0:name ns0:val="Heading 3"/>
    <ns0:basedOn ns0:val="Heading"/>
    <ns0:next ns0:val="TextBody"/>
    <ns0:qFormat/>
    <ns0:pPr>
      <ns0:spacing ns0:lineRule="auto" ns0:line="283" ns0:before="200" ns0:after="90"/>
      <ns0:outlineLvl ns0:val="2"/>
    </ns0:pPr>
    <ns0:rPr>
      <ns0:rFonts ns0:ascii="Liberation Serif" ns0:hAnsi="Liberation Serif" ns0:eastAsia="Noto Serif CJK SC" ns0:cs="Lohit Devanagari"/>
      <ns0:b/>
      <ns0:bCs/>
      <ns0:sz ns0:val="24"/>
      <ns0:szCs ns0:val="28"/>
      <ns0:color ns0:val="134E4A"/>
    </ns0:rPr>
  </ns0:style>
  <ns0:style ns0:type="paragraph" ns0:styleId="Heading4">
    <ns0:name ns0:val="Heading 4"/>
    <ns0:basedOn ns0:val="Heading"/>
    <ns0:next ns0:val="TextBody"/>
    <ns0:qFormat/>
    <ns0:pPr>
      <ns0:spacing ns0:lineRule="auto" ns0:line="283" ns0:before="120" ns0:after="120"/>
      <ns0:outlineLvl ns0:val="3"/>
    </ns0:pPr>
    <ns0:rPr>
      <ns0:rFonts ns0:ascii="Liberation Serif" ns0:hAnsi="Liberation Serif" ns0:eastAsia="Noto Serif CJK SC" ns0:cs="Lohit Devanagari"/>
      <ns0:b/>
      <ns0:bCs/>
      <ns0:sz ns0:val="24"/>
      <ns0:szCs ns0:val="24"/>
    </ns0:rPr>
  </ns0:style>
  <ns0:style ns0:type="character" ns0:styleId="EndnoteCharacters">
    <ns0:name ns0:val="Endnote Characters"/>
    <ns0:qFormat/>
    <ns0:rPr/>
  </ns0:style>
  <ns0:style ns0:type="character" ns0:styleId="FootnoteCharacters">
    <ns0:name ns0:val="Footnote Characters"/>
    <ns0:qFormat/>
    <ns0:rPr/>
  </ns0:style>
  <ns0:style ns0:type="character" ns0:styleId="InternetLink">
    <ns0:name ns0:val="Hyperlink"/>
    <ns0:rPr>
      <ns0:color ns0:val="000080"/>
      <ns0:u ns0:val="single"/>
    </ns0:rPr>
  </ns0:style>
  <ns0:style ns0:type="character" ns0:styleId="SourceText">
    <ns0:name ns0:val="Source Text"/>
    <ns0:qFormat/>
    <ns0:rPr>
      <ns0:rFonts ns0:ascii="Liberation Mono" ns0:hAnsi="Liberation Mono" ns0:eastAsia="Noto Sans Mono CJK SC" ns0:cs="Liberation Mono"/>
    </ns0:rPr>
  </ns0:style>
  <ns0:style ns0:type="character" ns0:styleId="StrongEmphasis">
    <ns0:name ns0:val="Strong Emphasis"/>
    <ns0:qFormat/>
    <ns0:rPr>
      <ns0:b/>
      <ns0:bCs/>
    </ns0:rPr>
  </ns0:style>
  <ns0:style ns0:type="character" ns0:styleId="NumberingSymbols">
    <ns0:name ns0:val="Numbering Symbols"/>
    <ns0:qFormat/>
    <ns0:rPr/>
  </ns0:style>
  <ns0:style ns0:type="character" ns0:styleId="VisitedInternetLink">
    <ns0:name ns0:val="FollowedHyperlink"/>
    <ns0:rPr>
      <ns0:color ns0:val="800000"/>
      <ns0:u ns0:val="single"/>
    </ns0:rPr>
  </ns0:style>
  <ns0:style ns0:type="paragraph" ns0:styleId="HorizontalLine">
    <ns0:name ns0:val="Horizontal Line"/>
    <ns0:basedOn ns0:val="Normal"/>
    <ns0:next ns0:val="TextBody"/>
    <ns0:qFormat/>
    <ns0:pPr>
      <ns0:pBdr>
        <ns0:bottom ns0:val="double" ns0:sz="2" ns0:space="0" ns0:color="808080"/>
      </ns0:pBdr>
      <ns0:spacing ns0:before="0" ns0:after="283"/>
    </ns0:pPr>
    <ns0:rPr>
      <ns0:sz ns0:val="12"/>
    </ns0:rPr>
  </ns0:style>
  <ns0:style ns0:type="paragraph" ns0:styleId="Sender">
    <ns0:name ns0:val="Envelope Return"/>
    <ns0:basedOn ns0:val="Normal"/>
    <ns0:pPr/>
    <ns0:rPr>
      <ns0:i/>
    </ns0:rPr>
  </ns0:style>
  <ns0:style ns0:type="paragraph" ns0:styleId="TableContents">
    <ns0:name ns0:val="Table Contents"/>
    <ns0:basedOn ns0:val="TextBody"/>
    <ns0:qFormat/>
    <ns0:pPr/>
    <ns0:rPr/>
  </ns0:style>
  <ns0:style ns0:type="paragraph" ns0:styleId="Footer">
    <ns0:name ns0:val="Footer"/>
    <ns0:basedOn ns0:val="Normal"/>
    <ns0:pPr>
      <ns0:suppressLineNumbers/>
      <ns0:tabs>
        <ns0:tab ns0:val="clear" ns0:pos="1134"/>
        <ns0:tab ns0:val="center" ns0:pos="4818" ns0:leader="none"/>
        <ns0:tab ns0:val="right" ns0:pos="9637" ns0:leader="none"/>
      </ns0:tabs>
    </ns0:pPr>
    <ns0:rPr/>
  </ns0:style>
  <ns0:style ns0:type="paragraph" ns0:styleId="Header">
    <ns0:name ns0:val="Header"/>
    <ns0:basedOn ns0:val="Normal"/>
    <ns0:pPr>
      <ns0:suppressLineNumbers/>
      <ns0:tabs>
        <ns0:tab ns0:val="clear" ns0:pos="1134"/>
        <ns0:tab ns0:val="center" ns0:pos="4818" ns0:leader="none"/>
        <ns0:tab ns0:val="right" ns0:pos="9637" ns0:leader="none"/>
      </ns0:tabs>
    </ns0:pPr>
    <ns0:rPr/>
  </ns0:style>
  <ns0:style ns0:type="paragraph" ns0:styleId="HeaderandFooter">
    <ns0:name ns0:val="Header and Footer"/>
    <ns0:basedOn ns0:val="Normal"/>
    <ns0:qFormat/>
    <ns0:pPr>
      <ns0:suppressLineNumbers/>
      <ns0:tabs>
        <ns0:tab ns0:val="clear" ns0:pos="1134"/>
        <ns0:tab ns0:val="center" ns0:pos="4986" ns0:leader="none"/>
        <ns0:tab ns0:val="right" ns0:pos="9972" ns0:leader="none"/>
      </ns0:tabs>
    </ns0:pPr>
    <ns0:rPr/>
  </ns0:style>
  <ns0:style ns0:type="paragraph" ns0:styleId="Index">
    <ns0:name ns0:val="Index"/>
    <ns0:basedOn ns0:val="Normal"/>
    <ns0:qFormat/>
    <ns0:pPr>
      <ns0:suppressLineNumbers/>
    </ns0:pPr>
    <ns0:rPr>
      <ns0:rFonts ns0:cs="Lohit Devanagari"/>
    </ns0:rPr>
  </ns0:style>
  <ns0:style ns0:type="paragraph" ns0:styleId="Caption">
    <ns0:name ns0:val="Caption"/>
    <ns0:basedOn ns0:val="Normal"/>
    <ns0:qFormat/>
    <ns0:pPr>
      <ns0:suppressLineNumbers/>
      <ns0:spacing ns0:before="120" ns0:after="120"/>
    </ns0:pPr>
    <ns0:rPr>
      <ns0:rFonts ns0:cs="Lohit Devanagari"/>
      <ns0:i/>
      <ns0:iCs/>
      <ns0:sz ns0:val="24"/>
      <ns0:szCs ns0:val="24"/>
    </ns0:rPr>
  </ns0:style>
  <ns0:style ns0:type="paragraph" ns0:styleId="List">
    <ns0:name ns0:val="List"/>
    <ns0:basedOn ns0:val="TextBody"/>
    <ns0:pPr/>
    <ns0:rPr>
      <ns0:rFonts ns0:cs="Lohit Devanagari"/>
    </ns0:rPr>
  </ns0:style>
  <ns0:style ns0:type="paragraph" ns0:styleId="TextBody">
    <ns0:name ns0:val="Body Text"/>
    <ns0:basedOn ns0:val="Normal"/>
    <ns0:pPr>
      <ns0:spacing ns0:before="0" ns0:after="283"/>
    </ns0:pPr>
    <ns0:rPr/>
  </ns0:style>
  <ns0:style ns0:type="paragraph" ns0:styleId="Heading">
    <ns0:name ns0:val="Heading"/>
    <ns0:basedOn ns0:val="Normal"/>
    <ns0:next ns0:val="TextBody"/>
    <ns0:qFormat/>
    <ns0:pPr>
      <ns0:keepNext ns0:val="true"/>
      <ns0:spacing ns0:before="240" ns0:after="283"/>
    </ns0:pPr>
    <ns0:rPr>
      <ns0:rFonts ns0:ascii="Liberation Sans" ns0:hAnsi="Liberation Sans"/>
      <ns0:sz ns0:val="28"/>
      <ns0:szCs ns0:val="28"/>
    </ns0:rPr>
  </ns0:style>
  <ns0:style ns0:type="paragraph" ns0:styleId="Quotations">
    <ns0:name ns0:val="Quotations"/>
    <ns0:basedOn ns0:val="Normal"/>
    <ns0:qFormat/>
    <ns0:pPr>
      <ns0:spacing ns0:before="0" ns0:after="283"/>
      <ns0:ind ns0:start="567" ns0:end="567" ns0:hanging="0"/>
    </ns0:pPr>
    <ns0:rPr/>
  </ns0:style>
  <ns0:style ns0:type="paragraph" ns0:styleId="PreformattedText">
    <ns0:name ns0:val="Preformatted Text"/>
    <ns0:basedOn ns0:val="Normal"/>
    <ns0:qFormat/>
    <ns0:pPr>
      <ns0:pBdr/>
      <ns0:spacing ns0:before="0" ns0:after="0"/>
    </ns0:pPr>
    <ns0:rPr>
      <ns0:rFonts ns0:ascii="Liberation Mono" ns0:hAnsi="Liberation Mono" ns0:eastAsia="Noto Sans Mono CJK SC" ns0:cs="Liberation Mono"/>
      <ns0:sz ns0:val="20"/>
      <ns0:szCs ns0:val="20"/>
    </ns0:rPr>
  </ns0:style>
  <ns0:style ns0:type="paragraph" ns0:styleId="TextBodyeyebrow">
    <ns0:name ns0:val="Text Body.eyebrow"/>
    <ns0:basedOn ns0:val="TextBody"/>
    <ns0:qFormat/>
    <ns0:pPr/>
    <ns0:rPr/>
  </ns0:style>
  <ns0:style ns0:type="paragraph" ns0:styleId="TextBodybrand">
    <ns0:name ns0:val="Text Body.brand"/>
    <ns0:basedOn ns0:val="TextBody"/>
    <ns0:qFormat/>
    <ns0:pPr/>
    <ns0:rPr>
      <ns0:b/>
      <ns0:bCs/>
    </ns0:rPr>
  </ns0:style>
  <ns0:style ns0:type="paragraph" ns0:styleId="TableHeading">
    <ns0:name ns0:val="Table Heading"/>
    <ns0:basedOn ns0:val="TableContents"/>
    <ns0:qFormat/>
    <ns0:pPr>
      <ns0:suppressLineNumbers/>
      <ns0:jc ns0:val="center"/>
    </ns0:pPr>
    <ns0:rPr>
      <ns0:b/>
      <ns0:bCs/>
    </ns0:rPr>
  </ns0:style>
</ns0: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Chemical research report rendered from a verified local Markdown source.</dc:description>
  <dc:language>en-US</dc:language>
  <cp:lastModifiedBy/>
  <cp:revision>0</cp:revision>
  <dc:subject/>
  <dc:title>PestController.org Chemical Knowledge Accuracy Audit | PestController.org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3" name="viewport">
    <vt:lpwstr>width=device-width, initial-scale=1</vt:lpwstr>
  </property>
</Properties>
</file>